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CBDB3">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赤峰市红山区商务和投资促进局关于办理</w:t>
      </w:r>
    </w:p>
    <w:p w14:paraId="50EC22F2">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单用途商业预付卡备案业务的告知书</w:t>
      </w:r>
    </w:p>
    <w:p w14:paraId="24C25FD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p>
    <w:p w14:paraId="546E3EA5">
      <w:pPr>
        <w:keepNext w:val="0"/>
        <w:keepLines w:val="0"/>
        <w:pageBreakBefore w:val="0"/>
        <w:widowControl w:val="0"/>
        <w:kinsoku/>
        <w:wordWrap/>
        <w:overflowPunct/>
        <w:topLinePunct w:val="0"/>
        <w:autoSpaceDE/>
        <w:autoSpaceDN/>
        <w:bidi w:val="0"/>
        <w:adjustRightInd/>
        <w:snapToGrid/>
        <w:spacing w:line="552"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红山区</w:t>
      </w:r>
      <w:r>
        <w:rPr>
          <w:rFonts w:hint="default" w:ascii="仿宋_GB2312" w:hAnsi="仿宋_GB2312" w:eastAsia="仿宋_GB2312" w:cs="仿宋_GB2312"/>
          <w:sz w:val="32"/>
          <w:szCs w:val="32"/>
          <w:lang w:val="en-US" w:eastAsia="zh-CN"/>
        </w:rPr>
        <w:t>各发行单用途商业预付卡企业法人：</w:t>
      </w:r>
    </w:p>
    <w:p w14:paraId="358E4CAC">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为进一步加强</w:t>
      </w:r>
      <w:r>
        <w:rPr>
          <w:rFonts w:hint="eastAsia" w:ascii="仿宋_GB2312" w:hAnsi="仿宋_GB2312" w:eastAsia="仿宋_GB2312" w:cs="仿宋_GB2312"/>
          <w:sz w:val="32"/>
          <w:szCs w:val="32"/>
          <w:lang w:val="en-US" w:eastAsia="zh-CN"/>
        </w:rPr>
        <w:t>红山区</w:t>
      </w:r>
      <w:r>
        <w:rPr>
          <w:rFonts w:hint="default" w:ascii="仿宋_GB2312" w:hAnsi="仿宋_GB2312" w:eastAsia="仿宋_GB2312" w:cs="仿宋_GB2312"/>
          <w:sz w:val="32"/>
          <w:szCs w:val="32"/>
          <w:lang w:val="en-US" w:eastAsia="zh-CN"/>
        </w:rPr>
        <w:t>单用途商业预付卡管理，防范和排除资金风险，根据商务部《单用途商业预付卡管理办法（试行）》（商务部2012年第9号）及商务部令2016年第2号修改要求，请符合备案条件</w:t>
      </w:r>
      <w:r>
        <w:rPr>
          <w:rFonts w:hint="eastAsia" w:ascii="仿宋_GB2312" w:hAnsi="仿宋_GB2312" w:eastAsia="仿宋_GB2312" w:cs="仿宋_GB2312"/>
          <w:sz w:val="32"/>
          <w:szCs w:val="32"/>
          <w:lang w:val="en-US" w:eastAsia="zh-CN"/>
        </w:rPr>
        <w:t>但</w:t>
      </w:r>
      <w:r>
        <w:rPr>
          <w:rFonts w:hint="default" w:ascii="仿宋_GB2312" w:hAnsi="仿宋_GB2312" w:eastAsia="仿宋_GB2312" w:cs="仿宋_GB2312"/>
          <w:sz w:val="32"/>
          <w:szCs w:val="32"/>
          <w:lang w:val="en-US" w:eastAsia="zh-CN"/>
        </w:rPr>
        <w:t>未备案的企业法人尽快完成备案，现就有关事项告知如下：</w:t>
      </w:r>
    </w:p>
    <w:p w14:paraId="081EDBA2">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一、备案对象</w:t>
      </w:r>
    </w:p>
    <w:p w14:paraId="5A0D0898">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凡在红山区范围内从事零售业、住宿和餐饮业、居民服务业的发卡企业</w:t>
      </w:r>
      <w:r>
        <w:rPr>
          <w:rFonts w:hint="eastAsia" w:ascii="仿宋_GB2312" w:hAnsi="仿宋_GB2312" w:eastAsia="仿宋_GB2312" w:cs="仿宋_GB2312"/>
          <w:sz w:val="32"/>
          <w:szCs w:val="32"/>
          <w:lang w:val="en-US" w:eastAsia="zh-CN"/>
        </w:rPr>
        <w:t>（具体行业分类表见附件1）均需备案。</w:t>
      </w:r>
    </w:p>
    <w:p w14:paraId="2E826B16">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sz w:val="32"/>
          <w:szCs w:val="32"/>
          <w:lang w:val="en-US" w:eastAsia="zh-CN"/>
        </w:rPr>
        <w:t>单用途商业预付卡是指从事</w:t>
      </w:r>
      <w:r>
        <w:rPr>
          <w:rFonts w:hint="eastAsia" w:ascii="仿宋_GB2312" w:hAnsi="仿宋_GB2312" w:eastAsia="仿宋_GB2312" w:cs="仿宋_GB2312"/>
          <w:sz w:val="32"/>
          <w:szCs w:val="32"/>
          <w:lang w:val="en-US" w:eastAsia="zh-CN"/>
        </w:rPr>
        <w:t>前款规定的</w:t>
      </w:r>
      <w:r>
        <w:rPr>
          <w:rFonts w:hint="default" w:ascii="仿宋_GB2312" w:hAnsi="仿宋_GB2312" w:eastAsia="仿宋_GB2312" w:cs="仿宋_GB2312"/>
          <w:sz w:val="32"/>
          <w:szCs w:val="32"/>
          <w:lang w:val="en-US" w:eastAsia="zh-CN"/>
        </w:rPr>
        <w:t>企业发行的，仅限于在本企业或本企业所属集团或同一品牌特许经营体系内兑付货物或服务的预付凭证，包括以磁条卡、芯片卡、纸券等为载体的</w:t>
      </w:r>
      <w:r>
        <w:rPr>
          <w:rFonts w:hint="default" w:ascii="仿宋_GB2312" w:hAnsi="仿宋_GB2312" w:eastAsia="仿宋_GB2312" w:cs="仿宋_GB2312"/>
          <w:b w:val="0"/>
          <w:bCs w:val="0"/>
          <w:sz w:val="32"/>
          <w:szCs w:val="32"/>
          <w:lang w:val="en-US" w:eastAsia="zh-CN"/>
        </w:rPr>
        <w:t>实体卡和以密码、串码、图形、生物特征信息等为载体的虚拟卡</w:t>
      </w:r>
      <w:r>
        <w:rPr>
          <w:rFonts w:hint="eastAsia" w:ascii="仿宋_GB2312" w:hAnsi="仿宋_GB2312" w:eastAsia="仿宋_GB2312" w:cs="仿宋_GB2312"/>
          <w:b w:val="0"/>
          <w:bCs w:val="0"/>
          <w:sz w:val="32"/>
          <w:szCs w:val="32"/>
          <w:lang w:val="en-US" w:eastAsia="zh-CN"/>
        </w:rPr>
        <w:t>。</w:t>
      </w:r>
    </w:p>
    <w:p w14:paraId="1DF4B55D">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（一）集团发卡企业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指发行在本集团内使用的单用途卡的集团母公司。集团是指由同一企业法人绝对控股的企业法人联合体。</w:t>
      </w:r>
    </w:p>
    <w:p w14:paraId="3F6342DF">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（二）品牌发卡企业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指发行在同一品牌特许经营体系内使用的单用途卡，且拥有该品牌的企业标志或注册商标，或者经授权拥有该企业标志或注册商标排他使用权的法人企业。同一品牌特许经营体系是指使用同一企业标志或注册商标的企业法人联合体。</w:t>
      </w:r>
    </w:p>
    <w:p w14:paraId="7FDB68BA">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（三）规模发卡企业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指除集团发卡企业、品牌发卡企业之外的上年度营业收入500万元以上或工商注册登记不足一年、注册资本在100万元以上的企业。</w:t>
      </w:r>
    </w:p>
    <w:p w14:paraId="437328C2">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（四）其他发卡企业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指</w:t>
      </w:r>
      <w:r>
        <w:rPr>
          <w:rFonts w:hint="eastAsia" w:ascii="仿宋_GB2312" w:hAnsi="仿宋_GB2312" w:eastAsia="仿宋_GB2312" w:cs="仿宋_GB2312"/>
          <w:sz w:val="32"/>
          <w:szCs w:val="32"/>
          <w:lang w:val="en-US" w:eastAsia="zh-CN"/>
        </w:rPr>
        <w:t>除</w:t>
      </w:r>
      <w:r>
        <w:rPr>
          <w:rFonts w:hint="default" w:ascii="仿宋_GB2312" w:hAnsi="仿宋_GB2312" w:eastAsia="仿宋_GB2312" w:cs="仿宋_GB2312"/>
          <w:sz w:val="32"/>
          <w:szCs w:val="32"/>
          <w:lang w:val="en-US" w:eastAsia="zh-CN"/>
        </w:rPr>
        <w:t>集团发卡企业、品牌发卡企业</w:t>
      </w:r>
      <w:r>
        <w:rPr>
          <w:rFonts w:hint="eastAsia" w:ascii="仿宋_GB2312" w:hAnsi="仿宋_GB2312" w:eastAsia="仿宋_GB2312" w:cs="仿宋_GB2312"/>
          <w:sz w:val="32"/>
          <w:szCs w:val="32"/>
          <w:lang w:val="en-US" w:eastAsia="zh-CN"/>
        </w:rPr>
        <w:t>、规模发卡企业</w:t>
      </w:r>
      <w:r>
        <w:rPr>
          <w:rFonts w:hint="default" w:ascii="仿宋_GB2312" w:hAnsi="仿宋_GB2312" w:eastAsia="仿宋_GB2312" w:cs="仿宋_GB2312"/>
          <w:sz w:val="32"/>
          <w:szCs w:val="32"/>
          <w:lang w:val="en-US" w:eastAsia="zh-CN"/>
        </w:rPr>
        <w:t>之外的上一会计年度年营业收入500万元以下或工商注册登记不足一年、注册资本在100万元以下的企业。</w:t>
      </w:r>
    </w:p>
    <w:p w14:paraId="46B984D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二、备案材料</w:t>
      </w:r>
    </w:p>
    <w:p w14:paraId="538CF9B2">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（一）集团发卡企业和品牌发卡企业应提交下列材料：</w:t>
      </w:r>
    </w:p>
    <w:p w14:paraId="4BE1B4C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《单用途卡发卡企业备案表》（</w:t>
      </w:r>
      <w:r>
        <w:rPr>
          <w:rFonts w:hint="eastAsia" w:ascii="仿宋_GB2312" w:hAnsi="仿宋_GB2312" w:eastAsia="仿宋_GB2312" w:cs="仿宋_GB2312"/>
          <w:sz w:val="32"/>
          <w:szCs w:val="32"/>
          <w:lang w:val="en-US" w:eastAsia="zh-CN"/>
        </w:rPr>
        <w:t>扫描下方二维码下载</w:t>
      </w:r>
      <w:r>
        <w:rPr>
          <w:rFonts w:hint="default" w:ascii="仿宋_GB2312" w:hAnsi="仿宋_GB2312" w:eastAsia="仿宋_GB2312" w:cs="仿宋_GB2312"/>
          <w:sz w:val="32"/>
          <w:szCs w:val="32"/>
          <w:lang w:val="en-US" w:eastAsia="zh-CN"/>
        </w:rPr>
        <w:t>）；</w:t>
      </w:r>
    </w:p>
    <w:p w14:paraId="0DAFC6E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《营业执照》（副本）复印件；</w:t>
      </w:r>
    </w:p>
    <w:p w14:paraId="4A5480D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．经审计机构审计的上一年度财务报表及合并财务报表（加盖公章），但工商注册登记不足一年的集团发卡企业、品牌发卡企业除外；</w:t>
      </w:r>
    </w:p>
    <w:p w14:paraId="19417AF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实体卡样本（正反面）、虚拟卡记载的信息样本；</w:t>
      </w:r>
    </w:p>
    <w:p w14:paraId="1A3D330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单用途卡业务管理制度和资金管理制度；</w:t>
      </w:r>
    </w:p>
    <w:p w14:paraId="1387DCB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单用途卡购卡章程和购卡协议；</w:t>
      </w:r>
    </w:p>
    <w:p w14:paraId="02D78FC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.资金存管账户信息和资金存管协议；</w:t>
      </w:r>
    </w:p>
    <w:p w14:paraId="0579517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.与售卡企业签订的协议文本及售卡企业清单；</w:t>
      </w:r>
    </w:p>
    <w:p w14:paraId="7843968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.集团发卡企业提交集团股权关系说明（加盖公章），品牌发卡企业提交企业标志、注册商标所有权或排他使用权证明；</w:t>
      </w:r>
    </w:p>
    <w:p w14:paraId="3DE6FAB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.发卡企业为外商投资企业的，还应提交外商投资企业批准证书复印件。</w:t>
      </w:r>
    </w:p>
    <w:p w14:paraId="5B2DAACD">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（二）规模发卡企业应提交下列材料：</w:t>
      </w:r>
    </w:p>
    <w:p w14:paraId="0D2993F6">
      <w:pPr>
        <w:keepNext w:val="0"/>
        <w:keepLines w:val="0"/>
        <w:pageBreakBefore w:val="0"/>
        <w:widowControl w:val="0"/>
        <w:kinsoku/>
        <w:wordWrap/>
        <w:overflowPunct/>
        <w:topLinePunct w:val="0"/>
        <w:autoSpaceDE/>
        <w:autoSpaceDN/>
        <w:bidi w:val="0"/>
        <w:adjustRightInd/>
        <w:snapToGrid/>
        <w:spacing w:line="572" w:lineRule="exact"/>
        <w:ind w:left="638" w:leftChars="304" w:firstLine="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《单用途卡发卡企业备案表》（</w:t>
      </w:r>
      <w:r>
        <w:rPr>
          <w:rFonts w:hint="eastAsia" w:ascii="仿宋_GB2312" w:hAnsi="仿宋_GB2312" w:eastAsia="仿宋_GB2312" w:cs="仿宋_GB2312"/>
          <w:sz w:val="32"/>
          <w:szCs w:val="32"/>
          <w:lang w:val="en-US" w:eastAsia="zh-CN"/>
        </w:rPr>
        <w:t>扫描下方二维码下载</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《营业执照》（副本）复印件；</w:t>
      </w:r>
    </w:p>
    <w:p w14:paraId="69FE2F5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.经审计机构审计的上一年度财务报表（加盖公章），但工商注册登记不足一年的规模发卡企业除外；</w:t>
      </w:r>
    </w:p>
    <w:p w14:paraId="6AFE9CD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实体卡样本（正反面）、虚拟卡记载的信息样本；</w:t>
      </w:r>
    </w:p>
    <w:p w14:paraId="0C1B011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单用途卡业务管理制度和资金管理制度；</w:t>
      </w:r>
    </w:p>
    <w:p w14:paraId="0CDEDD6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单用途卡购卡章程和购卡协议；</w:t>
      </w:r>
    </w:p>
    <w:p w14:paraId="3A83F12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资金存管账户信息和资金存管协议；</w:t>
      </w:r>
    </w:p>
    <w:p w14:paraId="19C8EBF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.发卡企业为外商投资企业的，还应提交外商投资企业批准证书复印件。</w:t>
      </w:r>
    </w:p>
    <w:p w14:paraId="753A1D1B">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（三）其他发卡企业应提交下列材料：</w:t>
      </w:r>
    </w:p>
    <w:p w14:paraId="327B1C44">
      <w:pPr>
        <w:keepNext w:val="0"/>
        <w:keepLines w:val="0"/>
        <w:pageBreakBefore w:val="0"/>
        <w:widowControl w:val="0"/>
        <w:kinsoku/>
        <w:wordWrap/>
        <w:overflowPunct/>
        <w:topLinePunct w:val="0"/>
        <w:autoSpaceDE/>
        <w:autoSpaceDN/>
        <w:bidi w:val="0"/>
        <w:adjustRightInd/>
        <w:snapToGrid/>
        <w:spacing w:line="572" w:lineRule="exact"/>
        <w:ind w:left="638" w:leftChars="304" w:firstLine="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《单用途卡发卡企业备案表》（</w:t>
      </w:r>
      <w:r>
        <w:rPr>
          <w:rFonts w:hint="eastAsia" w:ascii="仿宋_GB2312" w:hAnsi="仿宋_GB2312" w:eastAsia="仿宋_GB2312" w:cs="仿宋_GB2312"/>
          <w:sz w:val="32"/>
          <w:szCs w:val="32"/>
          <w:lang w:val="en-US" w:eastAsia="zh-CN"/>
        </w:rPr>
        <w:t>扫描下方二维码下载</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《营业执照》（副本）复印件</w:t>
      </w:r>
      <w:r>
        <w:rPr>
          <w:rFonts w:hint="eastAsia" w:ascii="仿宋_GB2312" w:hAnsi="仿宋_GB2312" w:eastAsia="仿宋_GB2312" w:cs="仿宋_GB2312"/>
          <w:sz w:val="32"/>
          <w:szCs w:val="32"/>
          <w:lang w:val="en-US" w:eastAsia="zh-CN"/>
        </w:rPr>
        <w:t>。</w:t>
      </w:r>
    </w:p>
    <w:p w14:paraId="1790B54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三、备案流程</w:t>
      </w:r>
    </w:p>
    <w:p w14:paraId="25BBAC1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（一）集团发卡企业和品牌发卡企业向自治区商务主管部门备案；规模发卡企业向赤峰市商务主管部门备案；其他发卡企业向红山区商务主管部门备案。</w:t>
      </w:r>
    </w:p>
    <w:p w14:paraId="1F8653A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eastAsia="zh-CN"/>
        </w:rPr>
        <w:t>材料</w:t>
      </w:r>
      <w:r>
        <w:rPr>
          <w:rFonts w:hint="default" w:ascii="仿宋_GB2312" w:hAnsi="仿宋_GB2312" w:eastAsia="仿宋_GB2312" w:cs="仿宋_GB2312"/>
          <w:sz w:val="32"/>
          <w:szCs w:val="32"/>
          <w:lang w:val="en-US" w:eastAsia="zh-CN"/>
        </w:rPr>
        <w:t>审核通过后</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商务主管部门将生成的备案号和“商务部业务系统统一平台”企业端用户名和密码反馈至发卡企业。</w:t>
      </w:r>
    </w:p>
    <w:p w14:paraId="008E55F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（三）发卡企业登录平台后进入“单用途商业预付卡业务信息系统”按要求填写信息进行线上备案。</w:t>
      </w:r>
    </w:p>
    <w:p w14:paraId="37EAAFB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（四）商务主管部门确认信息填写无误后生成电子备案回执单反馈至发卡企业，至此即完成备案。</w:t>
      </w:r>
    </w:p>
    <w:p w14:paraId="35EBD61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备案事项发生变更、发卡企业类型改变或单用途卡业务终止时，发卡企业应在变化之日起15个工作日内向备案机关办理变更、注销手续。</w:t>
      </w:r>
    </w:p>
    <w:p w14:paraId="06F4626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四、备案受理</w:t>
      </w:r>
    </w:p>
    <w:p w14:paraId="08F50F8B">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其他发卡企业备案材料提交地址</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红山区桥北云计算中心西侧赤峰市红山区政务服务中心综合受理窗口</w:t>
      </w:r>
      <w:r>
        <w:rPr>
          <w:rFonts w:hint="eastAsia" w:ascii="仿宋_GB2312" w:hAnsi="仿宋_GB2312" w:eastAsia="仿宋_GB2312" w:cs="仿宋_GB2312"/>
          <w:sz w:val="32"/>
          <w:szCs w:val="32"/>
          <w:lang w:val="en-US" w:eastAsia="zh-CN"/>
        </w:rPr>
        <w:t>。</w:t>
      </w:r>
    </w:p>
    <w:p w14:paraId="5378E35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（二）受理时间：上午9：00-12：00；下午14：30-17：30。</w:t>
      </w:r>
    </w:p>
    <w:p w14:paraId="68CC55F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咨询电话：0476-5895550（</w:t>
      </w:r>
      <w:r>
        <w:rPr>
          <w:rFonts w:hint="eastAsia" w:ascii="仿宋_GB2312" w:hAnsi="仿宋_GB2312" w:eastAsia="仿宋_GB2312" w:cs="仿宋_GB2312"/>
          <w:sz w:val="32"/>
          <w:szCs w:val="32"/>
          <w:lang w:val="en-US" w:eastAsia="zh-CN"/>
        </w:rPr>
        <w:t>赤峰市红山区商务和投资促进局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0476-8869270 （</w:t>
      </w:r>
      <w:r>
        <w:rPr>
          <w:rFonts w:hint="eastAsia" w:ascii="仿宋_GB2312" w:hAnsi="仿宋_GB2312" w:eastAsia="仿宋_GB2312" w:cs="仿宋_GB2312"/>
          <w:sz w:val="32"/>
          <w:szCs w:val="32"/>
          <w:lang w:val="en-US" w:eastAsia="zh-CN"/>
        </w:rPr>
        <w:t>赤峰市</w:t>
      </w:r>
      <w:r>
        <w:rPr>
          <w:rFonts w:hint="default" w:ascii="仿宋_GB2312" w:hAnsi="仿宋_GB2312" w:eastAsia="仿宋_GB2312" w:cs="仿宋_GB2312"/>
          <w:sz w:val="32"/>
          <w:szCs w:val="32"/>
          <w:lang w:val="en-US" w:eastAsia="zh-CN"/>
        </w:rPr>
        <w:t>红山区政务服务中心）</w:t>
      </w:r>
      <w:r>
        <w:rPr>
          <w:rFonts w:hint="eastAsia" w:ascii="仿宋_GB2312" w:hAnsi="仿宋_GB2312" w:eastAsia="仿宋_GB2312" w:cs="仿宋_GB2312"/>
          <w:sz w:val="32"/>
          <w:szCs w:val="32"/>
          <w:lang w:val="en-US" w:eastAsia="zh-CN"/>
        </w:rPr>
        <w:t>。</w:t>
      </w:r>
    </w:p>
    <w:p w14:paraId="6272808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特此公告。</w:t>
      </w:r>
    </w:p>
    <w:p w14:paraId="4984FDE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olor w:val="000000"/>
          <w:sz w:val="32"/>
          <w:szCs w:val="32"/>
          <w:lang w:eastAsia="zh-CN"/>
        </w:rPr>
        <w:drawing>
          <wp:anchor distT="0" distB="0" distL="114300" distR="114300" simplePos="0" relativeHeight="251659264" behindDoc="0" locked="0" layoutInCell="1" allowOverlap="1">
            <wp:simplePos x="0" y="0"/>
            <wp:positionH relativeFrom="column">
              <wp:posOffset>1310640</wp:posOffset>
            </wp:positionH>
            <wp:positionV relativeFrom="page">
              <wp:posOffset>4175125</wp:posOffset>
            </wp:positionV>
            <wp:extent cx="2734945" cy="2703830"/>
            <wp:effectExtent l="0" t="0" r="8255" b="1270"/>
            <wp:wrapTopAndBottom/>
            <wp:docPr id="1" name="图片 3" descr="23c9fa1fb2edc93138652191366cf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23c9fa1fb2edc93138652191366cf448"/>
                    <pic:cNvPicPr>
                      <a:picLocks noChangeAspect="1"/>
                    </pic:cNvPicPr>
                  </pic:nvPicPr>
                  <pic:blipFill>
                    <a:blip r:embed="rId4"/>
                    <a:srcRect r="4295"/>
                    <a:stretch>
                      <a:fillRect/>
                    </a:stretch>
                  </pic:blipFill>
                  <pic:spPr>
                    <a:xfrm>
                      <a:off x="0" y="0"/>
                      <a:ext cx="2734945" cy="2703830"/>
                    </a:xfrm>
                    <a:prstGeom prst="rect">
                      <a:avLst/>
                    </a:prstGeom>
                    <a:noFill/>
                    <a:ln>
                      <a:noFill/>
                    </a:ln>
                  </pic:spPr>
                </pic:pic>
              </a:graphicData>
            </a:graphic>
          </wp:anchor>
        </w:drawing>
      </w:r>
    </w:p>
    <w:p w14:paraId="75954D6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p>
    <w:p w14:paraId="3C6DF02B">
      <w:pPr>
        <w:tabs>
          <w:tab w:val="left" w:pos="360"/>
          <w:tab w:val="left" w:pos="2295"/>
        </w:tabs>
        <w:adjustRightInd w:val="0"/>
        <w:snapToGrid w:val="0"/>
        <w:spacing w:line="360" w:lineRule="auto"/>
        <w:rPr>
          <w:rFonts w:hint="eastAsia" w:ascii="仿宋_GB2312" w:hAnsi="宋体" w:eastAsia="仿宋_GB2312"/>
          <w:color w:val="000000"/>
          <w:sz w:val="32"/>
          <w:szCs w:val="32"/>
        </w:rPr>
      </w:pPr>
    </w:p>
    <w:p w14:paraId="29E8F93A">
      <w:pPr>
        <w:tabs>
          <w:tab w:val="left" w:pos="360"/>
          <w:tab w:val="left" w:pos="2295"/>
        </w:tabs>
        <w:adjustRightInd w:val="0"/>
        <w:snapToGrid w:val="0"/>
        <w:spacing w:line="360" w:lineRule="auto"/>
        <w:rPr>
          <w:rFonts w:hint="eastAsia" w:ascii="仿宋_GB2312" w:hAnsi="宋体" w:eastAsia="仿宋_GB2312"/>
          <w:color w:val="000000"/>
          <w:sz w:val="32"/>
          <w:szCs w:val="32"/>
        </w:rPr>
      </w:pPr>
    </w:p>
    <w:p w14:paraId="75C7FA1F">
      <w:pPr>
        <w:tabs>
          <w:tab w:val="left" w:pos="360"/>
          <w:tab w:val="left" w:pos="2295"/>
        </w:tabs>
        <w:adjustRightInd w:val="0"/>
        <w:snapToGrid w:val="0"/>
        <w:spacing w:line="360" w:lineRule="auto"/>
        <w:rPr>
          <w:rFonts w:hint="eastAsia" w:ascii="仿宋_GB2312" w:hAnsi="宋体" w:eastAsia="仿宋_GB2312"/>
          <w:color w:val="000000"/>
          <w:sz w:val="32"/>
          <w:szCs w:val="32"/>
        </w:rPr>
      </w:pPr>
    </w:p>
    <w:p w14:paraId="43ACC7E1">
      <w:pPr>
        <w:tabs>
          <w:tab w:val="left" w:pos="360"/>
          <w:tab w:val="left" w:pos="2295"/>
        </w:tabs>
        <w:adjustRightInd w:val="0"/>
        <w:snapToGrid w:val="0"/>
        <w:spacing w:line="360" w:lineRule="auto"/>
        <w:rPr>
          <w:rFonts w:hint="eastAsia" w:ascii="仿宋_GB2312" w:hAnsi="宋体" w:eastAsia="仿宋_GB2312"/>
          <w:color w:val="000000"/>
          <w:sz w:val="32"/>
          <w:szCs w:val="32"/>
        </w:rPr>
      </w:pPr>
    </w:p>
    <w:p w14:paraId="6D4EC784">
      <w:pPr>
        <w:tabs>
          <w:tab w:val="left" w:pos="360"/>
          <w:tab w:val="left" w:pos="2295"/>
        </w:tabs>
        <w:adjustRightInd w:val="0"/>
        <w:snapToGrid w:val="0"/>
        <w:spacing w:line="360" w:lineRule="auto"/>
        <w:rPr>
          <w:rFonts w:hint="eastAsia" w:ascii="仿宋_GB2312" w:hAnsi="宋体" w:eastAsia="仿宋_GB2312"/>
          <w:color w:val="000000"/>
          <w:sz w:val="32"/>
          <w:szCs w:val="32"/>
        </w:rPr>
      </w:pPr>
    </w:p>
    <w:p w14:paraId="29232DF9">
      <w:pPr>
        <w:tabs>
          <w:tab w:val="left" w:pos="360"/>
          <w:tab w:val="left" w:pos="2295"/>
        </w:tabs>
        <w:adjustRightInd w:val="0"/>
        <w:snapToGrid w:val="0"/>
        <w:spacing w:line="360" w:lineRule="auto"/>
        <w:rPr>
          <w:rFonts w:hint="eastAsia" w:ascii="仿宋_GB2312" w:hAnsi="宋体" w:eastAsia="仿宋_GB2312"/>
          <w:color w:val="000000"/>
          <w:sz w:val="32"/>
          <w:szCs w:val="32"/>
        </w:rPr>
      </w:pPr>
    </w:p>
    <w:p w14:paraId="4554AA3F">
      <w:pPr>
        <w:tabs>
          <w:tab w:val="left" w:pos="360"/>
          <w:tab w:val="left" w:pos="2295"/>
        </w:tabs>
        <w:adjustRightInd w:val="0"/>
        <w:snapToGrid w:val="0"/>
        <w:spacing w:line="360" w:lineRule="auto"/>
        <w:rPr>
          <w:rFonts w:ascii="仿宋_GB2312" w:hAnsi="宋体" w:eastAsia="仿宋_GB2312"/>
          <w:color w:val="000000"/>
          <w:sz w:val="32"/>
          <w:szCs w:val="32"/>
        </w:rPr>
      </w:pPr>
      <w:r>
        <w:rPr>
          <w:rFonts w:hint="eastAsia" w:ascii="仿宋_GB2312" w:hAnsi="宋体" w:eastAsia="仿宋_GB2312"/>
          <w:color w:val="000000"/>
          <w:sz w:val="32"/>
          <w:szCs w:val="32"/>
        </w:rPr>
        <w:t>附件1</w:t>
      </w:r>
    </w:p>
    <w:p w14:paraId="7B8C831B">
      <w:pPr>
        <w:tabs>
          <w:tab w:val="left" w:pos="360"/>
          <w:tab w:val="left" w:pos="2295"/>
        </w:tabs>
        <w:adjustRightInd w:val="0"/>
        <w:snapToGrid w:val="0"/>
        <w:spacing w:line="360" w:lineRule="auto"/>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单用途商业预付卡行业分类表</w:t>
      </w:r>
    </w:p>
    <w:tbl>
      <w:tblPr>
        <w:tblStyle w:val="7"/>
        <w:tblW w:w="903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207"/>
        <w:gridCol w:w="2126"/>
        <w:gridCol w:w="4701"/>
      </w:tblGrid>
      <w:tr w14:paraId="75A44E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0" w:hRule="atLeast"/>
          <w:jc w:val="center"/>
        </w:trPr>
        <w:tc>
          <w:tcPr>
            <w:tcW w:w="2207" w:type="dxa"/>
            <w:vMerge w:val="restart"/>
            <w:noWrap w:val="0"/>
            <w:vAlign w:val="center"/>
          </w:tcPr>
          <w:p w14:paraId="209FE5BC">
            <w:pPr>
              <w:widowControl/>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零售业</w:t>
            </w:r>
          </w:p>
        </w:tc>
        <w:tc>
          <w:tcPr>
            <w:tcW w:w="2126" w:type="dxa"/>
            <w:noWrap w:val="0"/>
            <w:vAlign w:val="center"/>
          </w:tcPr>
          <w:p w14:paraId="125A4E26">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综合零售</w:t>
            </w:r>
          </w:p>
        </w:tc>
        <w:tc>
          <w:tcPr>
            <w:tcW w:w="4701" w:type="dxa"/>
            <w:noWrap w:val="0"/>
            <w:vAlign w:val="center"/>
          </w:tcPr>
          <w:p w14:paraId="0FBCC23A">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百货、超市、杂货店、便利店</w:t>
            </w:r>
          </w:p>
        </w:tc>
      </w:tr>
      <w:tr w14:paraId="5C427D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5" w:hRule="atLeast"/>
          <w:jc w:val="center"/>
        </w:trPr>
        <w:tc>
          <w:tcPr>
            <w:tcW w:w="2207" w:type="dxa"/>
            <w:vMerge w:val="continue"/>
            <w:noWrap w:val="0"/>
            <w:vAlign w:val="center"/>
          </w:tcPr>
          <w:p w14:paraId="78A108A4">
            <w:pPr>
              <w:widowControl/>
              <w:jc w:val="left"/>
              <w:rPr>
                <w:rFonts w:ascii="黑体" w:hAnsi="宋体" w:eastAsia="黑体" w:cs="宋体"/>
                <w:color w:val="000000"/>
                <w:kern w:val="0"/>
                <w:sz w:val="32"/>
                <w:szCs w:val="32"/>
              </w:rPr>
            </w:pPr>
          </w:p>
        </w:tc>
        <w:tc>
          <w:tcPr>
            <w:tcW w:w="2126" w:type="dxa"/>
            <w:noWrap w:val="0"/>
            <w:vAlign w:val="center"/>
          </w:tcPr>
          <w:p w14:paraId="41E5A361">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专门零售</w:t>
            </w:r>
          </w:p>
        </w:tc>
        <w:tc>
          <w:tcPr>
            <w:tcW w:w="4701" w:type="dxa"/>
            <w:noWrap w:val="0"/>
            <w:vAlign w:val="center"/>
          </w:tcPr>
          <w:p w14:paraId="16F876B4">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食品、饮料、烟草制品、纺织、服装、日用品、文化体育用品及器材、医药及医疗器材、汽车及零配件、摩托车及零配件、机动车燃料、家用电器及电子产品、五金、家具、室内装饰材料</w:t>
            </w:r>
          </w:p>
        </w:tc>
      </w:tr>
      <w:tr w14:paraId="45B736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0" w:hRule="atLeast"/>
          <w:jc w:val="center"/>
        </w:trPr>
        <w:tc>
          <w:tcPr>
            <w:tcW w:w="2207" w:type="dxa"/>
            <w:vMerge w:val="continue"/>
            <w:noWrap w:val="0"/>
            <w:vAlign w:val="center"/>
          </w:tcPr>
          <w:p w14:paraId="00521E91">
            <w:pPr>
              <w:widowControl/>
              <w:jc w:val="left"/>
              <w:rPr>
                <w:rFonts w:ascii="黑体" w:hAnsi="宋体" w:eastAsia="黑体" w:cs="宋体"/>
                <w:color w:val="000000"/>
                <w:kern w:val="0"/>
                <w:sz w:val="32"/>
                <w:szCs w:val="32"/>
              </w:rPr>
            </w:pPr>
          </w:p>
        </w:tc>
        <w:tc>
          <w:tcPr>
            <w:tcW w:w="2126" w:type="dxa"/>
            <w:noWrap w:val="0"/>
            <w:vAlign w:val="center"/>
          </w:tcPr>
          <w:p w14:paraId="1AFD4279">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无店铺及其他零售业</w:t>
            </w:r>
          </w:p>
        </w:tc>
        <w:tc>
          <w:tcPr>
            <w:tcW w:w="4701" w:type="dxa"/>
            <w:noWrap w:val="0"/>
            <w:vAlign w:val="center"/>
          </w:tcPr>
          <w:p w14:paraId="18E21DC8">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互联网零售、邮购、电视零售、旧货零售、生活用燃料零售</w:t>
            </w:r>
          </w:p>
        </w:tc>
      </w:tr>
      <w:tr w14:paraId="2F9371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5" w:hRule="atLeast"/>
          <w:jc w:val="center"/>
        </w:trPr>
        <w:tc>
          <w:tcPr>
            <w:tcW w:w="2207" w:type="dxa"/>
            <w:vMerge w:val="restart"/>
            <w:noWrap w:val="0"/>
            <w:vAlign w:val="center"/>
          </w:tcPr>
          <w:p w14:paraId="438CC5CC">
            <w:pPr>
              <w:widowControl/>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住宿和餐饮业</w:t>
            </w:r>
          </w:p>
        </w:tc>
        <w:tc>
          <w:tcPr>
            <w:tcW w:w="2126" w:type="dxa"/>
            <w:noWrap w:val="0"/>
            <w:vAlign w:val="center"/>
          </w:tcPr>
          <w:p w14:paraId="540C8EF8">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住宿业</w:t>
            </w:r>
          </w:p>
        </w:tc>
        <w:tc>
          <w:tcPr>
            <w:tcW w:w="4701" w:type="dxa"/>
            <w:noWrap w:val="0"/>
            <w:vAlign w:val="center"/>
          </w:tcPr>
          <w:p w14:paraId="6C39FC7F">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旅游饭店、一般饭店</w:t>
            </w:r>
          </w:p>
        </w:tc>
      </w:tr>
      <w:tr w14:paraId="69132A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0" w:hRule="atLeast"/>
          <w:jc w:val="center"/>
        </w:trPr>
        <w:tc>
          <w:tcPr>
            <w:tcW w:w="2207" w:type="dxa"/>
            <w:vMerge w:val="continue"/>
            <w:noWrap w:val="0"/>
            <w:vAlign w:val="center"/>
          </w:tcPr>
          <w:p w14:paraId="0E1D97EE">
            <w:pPr>
              <w:widowControl/>
              <w:jc w:val="left"/>
              <w:rPr>
                <w:rFonts w:ascii="黑体" w:hAnsi="宋体" w:eastAsia="黑体" w:cs="宋体"/>
                <w:color w:val="000000"/>
                <w:kern w:val="0"/>
                <w:sz w:val="32"/>
                <w:szCs w:val="32"/>
              </w:rPr>
            </w:pPr>
          </w:p>
        </w:tc>
        <w:tc>
          <w:tcPr>
            <w:tcW w:w="2126" w:type="dxa"/>
            <w:noWrap w:val="0"/>
            <w:vAlign w:val="center"/>
          </w:tcPr>
          <w:p w14:paraId="5CA27FAB">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餐饮业</w:t>
            </w:r>
          </w:p>
        </w:tc>
        <w:tc>
          <w:tcPr>
            <w:tcW w:w="4701" w:type="dxa"/>
            <w:noWrap w:val="0"/>
            <w:vAlign w:val="center"/>
          </w:tcPr>
          <w:p w14:paraId="13B58ECD">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正餐服务、快餐服务、饮料和冷饮服务、餐饮配送服务</w:t>
            </w:r>
          </w:p>
        </w:tc>
      </w:tr>
      <w:tr w14:paraId="53FE50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54" w:hRule="atLeast"/>
          <w:jc w:val="center"/>
        </w:trPr>
        <w:tc>
          <w:tcPr>
            <w:tcW w:w="2207" w:type="dxa"/>
            <w:vMerge w:val="restart"/>
            <w:noWrap w:val="0"/>
            <w:vAlign w:val="center"/>
          </w:tcPr>
          <w:p w14:paraId="57B4E878">
            <w:pPr>
              <w:widowControl/>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居民服务业</w:t>
            </w:r>
          </w:p>
        </w:tc>
        <w:tc>
          <w:tcPr>
            <w:tcW w:w="2126" w:type="dxa"/>
            <w:noWrap w:val="0"/>
            <w:vAlign w:val="center"/>
          </w:tcPr>
          <w:p w14:paraId="2AA5D638">
            <w:pPr>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居民服务业</w:t>
            </w:r>
          </w:p>
        </w:tc>
        <w:tc>
          <w:tcPr>
            <w:tcW w:w="4701" w:type="dxa"/>
            <w:noWrap w:val="0"/>
            <w:vAlign w:val="center"/>
          </w:tcPr>
          <w:p w14:paraId="782D5D77">
            <w:pPr>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家庭服务、洗染服务、理发及美容服务、洗浴服务、保健服务、婚姻服务</w:t>
            </w:r>
          </w:p>
        </w:tc>
      </w:tr>
      <w:tr w14:paraId="28AE1B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50" w:hRule="atLeast"/>
          <w:jc w:val="center"/>
        </w:trPr>
        <w:tc>
          <w:tcPr>
            <w:tcW w:w="2207" w:type="dxa"/>
            <w:vMerge w:val="continue"/>
            <w:noWrap w:val="0"/>
            <w:vAlign w:val="center"/>
          </w:tcPr>
          <w:p w14:paraId="780906EE">
            <w:pPr>
              <w:widowControl/>
              <w:jc w:val="center"/>
              <w:rPr>
                <w:rFonts w:ascii="黑体" w:hAnsi="宋体" w:eastAsia="黑体" w:cs="宋体"/>
                <w:color w:val="000000"/>
                <w:kern w:val="0"/>
                <w:sz w:val="32"/>
                <w:szCs w:val="32"/>
              </w:rPr>
            </w:pPr>
          </w:p>
        </w:tc>
        <w:tc>
          <w:tcPr>
            <w:tcW w:w="2126" w:type="dxa"/>
            <w:noWrap w:val="0"/>
            <w:vAlign w:val="center"/>
          </w:tcPr>
          <w:p w14:paraId="3C60090F">
            <w:pPr>
              <w:jc w:val="center"/>
              <w:rPr>
                <w:rFonts w:ascii="仿宋_GB2312" w:hAnsi="宋体" w:eastAsia="仿宋_GB2312" w:cs="宋体"/>
                <w:color w:val="000000"/>
                <w:kern w:val="0"/>
                <w:sz w:val="32"/>
                <w:szCs w:val="32"/>
              </w:rPr>
            </w:pPr>
            <w:r>
              <w:rPr>
                <w:rFonts w:hint="eastAsia" w:ascii="仿宋_GB2312" w:hAnsi="宋体" w:eastAsia="仿宋_GB2312"/>
                <w:color w:val="000000"/>
                <w:sz w:val="32"/>
                <w:szCs w:val="32"/>
              </w:rPr>
              <w:t>修理业</w:t>
            </w:r>
          </w:p>
        </w:tc>
        <w:tc>
          <w:tcPr>
            <w:tcW w:w="4701" w:type="dxa"/>
            <w:noWrap w:val="0"/>
            <w:vAlign w:val="center"/>
          </w:tcPr>
          <w:p w14:paraId="1307D7F0">
            <w:pPr>
              <w:jc w:val="center"/>
              <w:rPr>
                <w:rFonts w:ascii="仿宋_GB2312" w:hAnsi="宋体" w:eastAsia="仿宋_GB2312" w:cs="宋体"/>
                <w:color w:val="000000"/>
                <w:kern w:val="0"/>
                <w:sz w:val="32"/>
                <w:szCs w:val="32"/>
              </w:rPr>
            </w:pPr>
            <w:r>
              <w:rPr>
                <w:rFonts w:hint="eastAsia" w:ascii="仿宋_GB2312" w:hAnsi="宋体" w:eastAsia="仿宋_GB2312"/>
                <w:color w:val="000000"/>
                <w:sz w:val="32"/>
                <w:szCs w:val="32"/>
              </w:rPr>
              <w:t>汽车摩托车修理与维护、计算机和办公设备维修、家用电器维修、其他日用产品修理业</w:t>
            </w:r>
          </w:p>
        </w:tc>
      </w:tr>
      <w:tr w14:paraId="25A163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50" w:hRule="atLeast"/>
          <w:jc w:val="center"/>
        </w:trPr>
        <w:tc>
          <w:tcPr>
            <w:tcW w:w="2207" w:type="dxa"/>
            <w:vMerge w:val="continue"/>
            <w:noWrap w:val="0"/>
            <w:vAlign w:val="center"/>
          </w:tcPr>
          <w:p w14:paraId="5B9DF830">
            <w:pPr>
              <w:widowControl/>
              <w:jc w:val="center"/>
              <w:rPr>
                <w:rFonts w:ascii="黑体" w:hAnsi="宋体" w:eastAsia="黑体" w:cs="宋体"/>
                <w:color w:val="000000"/>
                <w:kern w:val="0"/>
                <w:sz w:val="32"/>
                <w:szCs w:val="32"/>
              </w:rPr>
            </w:pPr>
          </w:p>
        </w:tc>
        <w:tc>
          <w:tcPr>
            <w:tcW w:w="2126" w:type="dxa"/>
            <w:noWrap w:val="0"/>
            <w:vAlign w:val="center"/>
          </w:tcPr>
          <w:p w14:paraId="6F59324C">
            <w:pPr>
              <w:jc w:val="center"/>
              <w:rPr>
                <w:rFonts w:ascii="仿宋_GB2312" w:hAnsi="宋体" w:eastAsia="仿宋_GB2312" w:cs="宋体"/>
                <w:color w:val="000000"/>
                <w:kern w:val="0"/>
                <w:sz w:val="32"/>
                <w:szCs w:val="32"/>
              </w:rPr>
            </w:pPr>
            <w:r>
              <w:rPr>
                <w:rFonts w:hint="eastAsia" w:ascii="仿宋_GB2312" w:hAnsi="宋体" w:eastAsia="仿宋_GB2312"/>
                <w:color w:val="000000"/>
                <w:sz w:val="32"/>
                <w:szCs w:val="32"/>
              </w:rPr>
              <w:t>其他服务业</w:t>
            </w:r>
          </w:p>
        </w:tc>
        <w:tc>
          <w:tcPr>
            <w:tcW w:w="4701" w:type="dxa"/>
            <w:noWrap w:val="0"/>
            <w:vAlign w:val="center"/>
          </w:tcPr>
          <w:p w14:paraId="2050514F">
            <w:pPr>
              <w:jc w:val="center"/>
              <w:rPr>
                <w:rFonts w:ascii="仿宋_GB2312" w:hAnsi="宋体" w:eastAsia="仿宋_GB2312" w:cs="宋体"/>
                <w:color w:val="000000"/>
                <w:kern w:val="0"/>
                <w:sz w:val="32"/>
                <w:szCs w:val="32"/>
              </w:rPr>
            </w:pPr>
            <w:r>
              <w:rPr>
                <w:rFonts w:hint="eastAsia" w:ascii="仿宋_GB2312" w:hAnsi="宋体" w:eastAsia="仿宋_GB2312"/>
                <w:color w:val="000000"/>
                <w:sz w:val="32"/>
                <w:szCs w:val="32"/>
              </w:rPr>
              <w:t>清洁服务</w:t>
            </w:r>
          </w:p>
        </w:tc>
      </w:tr>
    </w:tbl>
    <w:p w14:paraId="0E61C820">
      <w:pPr>
        <w:keepNext w:val="0"/>
        <w:keepLines w:val="0"/>
        <w:pageBreakBefore w:val="0"/>
        <w:widowControl w:val="0"/>
        <w:kinsoku w:val="0"/>
        <w:wordWrap/>
        <w:overflowPunct w:val="0"/>
        <w:topLinePunct w:val="0"/>
        <w:autoSpaceDE w:val="0"/>
        <w:autoSpaceDN w:val="0"/>
        <w:bidi w:val="0"/>
        <w:adjustRightInd/>
        <w:snapToGrid/>
        <w:spacing w:line="240" w:lineRule="auto"/>
        <w:jc w:val="both"/>
        <w:textAlignment w:val="auto"/>
        <w:rPr>
          <w:rFonts w:hint="default" w:ascii="仿宋_GB2312" w:hAnsi="仿宋_GB2312" w:eastAsia="仿宋_GB2312" w:cs="仿宋_GB2312"/>
          <w:sz w:val="32"/>
          <w:szCs w:val="32"/>
          <w:lang w:val="en-US" w:eastAsia="zh-CN"/>
        </w:rPr>
      </w:pPr>
    </w:p>
    <w:sectPr>
      <w:pgSz w:w="11906" w:h="16838"/>
      <w:pgMar w:top="1417" w:right="1474"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F216A"/>
    <w:rsid w:val="0F67F763"/>
    <w:rsid w:val="177EBB1F"/>
    <w:rsid w:val="1FDF7629"/>
    <w:rsid w:val="2FFEF905"/>
    <w:rsid w:val="3BEF95FF"/>
    <w:rsid w:val="3DDD19D9"/>
    <w:rsid w:val="3ED48775"/>
    <w:rsid w:val="3FE31316"/>
    <w:rsid w:val="497FBE68"/>
    <w:rsid w:val="4FF78DBD"/>
    <w:rsid w:val="5EFE3491"/>
    <w:rsid w:val="5FDC8E07"/>
    <w:rsid w:val="63DF3D44"/>
    <w:rsid w:val="66EF49E0"/>
    <w:rsid w:val="67AF9D6A"/>
    <w:rsid w:val="67BFB30F"/>
    <w:rsid w:val="6B9F0C70"/>
    <w:rsid w:val="73ED857F"/>
    <w:rsid w:val="77F776FA"/>
    <w:rsid w:val="7BE53329"/>
    <w:rsid w:val="7BEFA9BC"/>
    <w:rsid w:val="7D9F216A"/>
    <w:rsid w:val="7E3E0B34"/>
    <w:rsid w:val="7EEE8FE3"/>
    <w:rsid w:val="7FAAD4A6"/>
    <w:rsid w:val="7FB9D9FE"/>
    <w:rsid w:val="7FBDA080"/>
    <w:rsid w:val="7FBFF623"/>
    <w:rsid w:val="7FDABB76"/>
    <w:rsid w:val="7FDD5AF3"/>
    <w:rsid w:val="7FE37334"/>
    <w:rsid w:val="7FEB4428"/>
    <w:rsid w:val="7FEF24CF"/>
    <w:rsid w:val="7FFBEBDE"/>
    <w:rsid w:val="7FFF933F"/>
    <w:rsid w:val="9DB39A79"/>
    <w:rsid w:val="B6FD5D65"/>
    <w:rsid w:val="BFFD720E"/>
    <w:rsid w:val="BFFD9A99"/>
    <w:rsid w:val="D24F7B06"/>
    <w:rsid w:val="D98F93BA"/>
    <w:rsid w:val="DF3E0C99"/>
    <w:rsid w:val="DF77353E"/>
    <w:rsid w:val="DFDD886D"/>
    <w:rsid w:val="E73FD0C6"/>
    <w:rsid w:val="EAD7AFF3"/>
    <w:rsid w:val="EFEB1EE0"/>
    <w:rsid w:val="F78F7173"/>
    <w:rsid w:val="F8BF6BCA"/>
    <w:rsid w:val="FAF28EE1"/>
    <w:rsid w:val="FB5FD38C"/>
    <w:rsid w:val="FBF79120"/>
    <w:rsid w:val="FBFB78C9"/>
    <w:rsid w:val="FBFD5906"/>
    <w:rsid w:val="FC87D53B"/>
    <w:rsid w:val="FDB75E11"/>
    <w:rsid w:val="FE56B9BD"/>
    <w:rsid w:val="FE7F8D5B"/>
    <w:rsid w:val="FE8DDC21"/>
    <w:rsid w:val="FEF979D2"/>
    <w:rsid w:val="FF07B06F"/>
    <w:rsid w:val="FF5FD936"/>
    <w:rsid w:val="FF7B62A6"/>
    <w:rsid w:val="FFF00A56"/>
    <w:rsid w:val="FFFE51B7"/>
    <w:rsid w:val="FFFFB0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eastAsia="仿宋"/>
      <w:sz w:val="32"/>
      <w:szCs w:val="32"/>
    </w:rPr>
  </w:style>
  <w:style w:type="paragraph" w:styleId="3">
    <w:name w:val="Body Text"/>
    <w:basedOn w:val="1"/>
    <w:next w:val="4"/>
    <w:qFormat/>
    <w:uiPriority w:val="0"/>
    <w:pPr>
      <w:spacing w:after="120"/>
    </w:pPr>
  </w:style>
  <w:style w:type="paragraph" w:styleId="4">
    <w:name w:val="Body Text First Indent 2"/>
    <w:basedOn w:val="5"/>
    <w:next w:val="1"/>
    <w:qFormat/>
    <w:uiPriority w:val="0"/>
    <w:pPr>
      <w:spacing w:line="360" w:lineRule="auto"/>
      <w:ind w:left="0" w:leftChars="0" w:firstLine="420" w:firstLineChars="200"/>
    </w:pPr>
  </w:style>
  <w:style w:type="paragraph" w:styleId="5">
    <w:name w:val="Body Text Indent"/>
    <w:basedOn w:val="1"/>
    <w:next w:val="2"/>
    <w:qFormat/>
    <w:uiPriority w:val="0"/>
    <w:pPr>
      <w:spacing w:after="120" w:afterLines="0" w:afterAutospacing="0"/>
      <w:ind w:left="420" w:leftChars="200"/>
    </w:p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4.33333333333333</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2026-04-15T23:31:00Z</dcterms:created>
  <dc:creator>admin</dc:creator>
  <cp:lastModifiedBy>admin</cp:lastModifiedBy>
  <cp:lastPrinted>2026-04-16T23:21:54Z</cp:lastPrinted>
  <dcterms:modified xsi:type="dcterms:W3CDTF">2026-04-24T10:38:48Z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D5F884252EA1B82CB8D7EA69B6A2B043_43</vt:lpwstr>
  </property>
</Properties>
</file>